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934" w:rsidRDefault="005C4934" w:rsidP="005C4934">
      <w:pPr>
        <w:spacing w:after="120"/>
        <w:rPr>
          <w:rFonts w:ascii="Times New Roman" w:hAnsi="Times New Roman"/>
          <w:sz w:val="22"/>
        </w:rPr>
      </w:pPr>
      <w:r>
        <w:rPr>
          <w:rFonts w:ascii="Times New Roman" w:hAnsi="Times New Roman"/>
          <w:sz w:val="22"/>
        </w:rPr>
        <w:t xml:space="preserve">P. Thomas, “The Role of National Party Caucuses,” in P. </w:t>
      </w:r>
      <w:proofErr w:type="spellStart"/>
      <w:r>
        <w:rPr>
          <w:rFonts w:ascii="Times New Roman" w:hAnsi="Times New Roman"/>
          <w:sz w:val="22"/>
        </w:rPr>
        <w:t>Aucion</w:t>
      </w:r>
      <w:proofErr w:type="spellEnd"/>
      <w:r>
        <w:rPr>
          <w:rFonts w:ascii="Times New Roman" w:hAnsi="Times New Roman"/>
          <w:sz w:val="22"/>
        </w:rPr>
        <w:t xml:space="preserve">, ed., </w:t>
      </w:r>
      <w:r>
        <w:rPr>
          <w:rFonts w:ascii="Times New Roman" w:hAnsi="Times New Roman"/>
          <w:i/>
          <w:sz w:val="22"/>
        </w:rPr>
        <w:t>Party Government and Regional Representation in Canada</w:t>
      </w:r>
      <w:r>
        <w:rPr>
          <w:rFonts w:ascii="Times New Roman" w:hAnsi="Times New Roman"/>
          <w:sz w:val="22"/>
        </w:rPr>
        <w:t xml:space="preserve"> (Toronto UTP, 1985)</w:t>
      </w:r>
    </w:p>
    <w:p w:rsidR="005C4934" w:rsidRDefault="005C4934" w:rsidP="005C4934">
      <w:pPr>
        <w:spacing w:after="120"/>
        <w:rPr>
          <w:rFonts w:ascii="Times New Roman" w:hAnsi="Times New Roman"/>
          <w:b/>
          <w:sz w:val="22"/>
        </w:rPr>
      </w:pPr>
      <w:r>
        <w:rPr>
          <w:rFonts w:ascii="Times New Roman" w:hAnsi="Times New Roman"/>
          <w:b/>
          <w:sz w:val="22"/>
        </w:rPr>
        <w:t>Overview</w:t>
      </w:r>
    </w:p>
    <w:p w:rsidR="005C4934" w:rsidRPr="005C4934" w:rsidRDefault="005C4934" w:rsidP="005C4934">
      <w:pPr>
        <w:spacing w:after="120"/>
        <w:rPr>
          <w:rFonts w:ascii="Times New Roman" w:hAnsi="Times New Roman"/>
          <w:sz w:val="22"/>
        </w:rPr>
      </w:pPr>
      <w:r>
        <w:rPr>
          <w:rFonts w:ascii="Times New Roman" w:hAnsi="Times New Roman"/>
          <w:sz w:val="22"/>
        </w:rPr>
        <w:t>Caucus arrangements have evolved over the years to become more elaborate and formal – with both national and regional caucuses. Each parliamentary caucus performs a variety of functions – including providing opportunities for the expression, promotion, and reconciliation of regional attitudes, concerns and demands. Caucus has been a flexible and creative institution that has responded well to changing political forces. Role of caucus is to create understanding of problems and mobilize support for satisfactory solutions to difficult problems, not find the perfect answer to every issue.</w:t>
      </w:r>
    </w:p>
    <w:p w:rsidR="005C4934" w:rsidRDefault="005C4934" w:rsidP="005C4934">
      <w:pPr>
        <w:spacing w:after="120"/>
        <w:rPr>
          <w:rFonts w:ascii="Times New Roman" w:hAnsi="Times New Roman"/>
          <w:b/>
          <w:sz w:val="22"/>
        </w:rPr>
      </w:pPr>
      <w:r>
        <w:rPr>
          <w:rFonts w:ascii="Times New Roman" w:hAnsi="Times New Roman"/>
          <w:b/>
          <w:sz w:val="22"/>
        </w:rPr>
        <w:t>Background</w:t>
      </w:r>
    </w:p>
    <w:p w:rsidR="005C4934" w:rsidRPr="005C4934" w:rsidRDefault="005C4934" w:rsidP="005C4934">
      <w:pPr>
        <w:pStyle w:val="ListParagraph"/>
        <w:numPr>
          <w:ilvl w:val="0"/>
          <w:numId w:val="1"/>
        </w:numPr>
        <w:spacing w:after="120"/>
        <w:rPr>
          <w:rFonts w:ascii="Times New Roman" w:hAnsi="Times New Roman"/>
          <w:sz w:val="22"/>
        </w:rPr>
      </w:pPr>
      <w:r w:rsidRPr="005C4934">
        <w:rPr>
          <w:rFonts w:ascii="Times New Roman" w:hAnsi="Times New Roman"/>
          <w:sz w:val="22"/>
        </w:rPr>
        <w:t>The two main political parties have not been flexible enough to accommodate fully the political expression of the range of diversities found within the country</w:t>
      </w:r>
    </w:p>
    <w:p w:rsidR="005C4934" w:rsidRDefault="005C4934" w:rsidP="005C4934">
      <w:pPr>
        <w:pStyle w:val="ListParagraph"/>
        <w:numPr>
          <w:ilvl w:val="0"/>
          <w:numId w:val="1"/>
        </w:numPr>
        <w:spacing w:after="120"/>
        <w:rPr>
          <w:rFonts w:ascii="Times New Roman" w:hAnsi="Times New Roman"/>
          <w:sz w:val="22"/>
        </w:rPr>
      </w:pPr>
      <w:r>
        <w:rPr>
          <w:rFonts w:ascii="Times New Roman" w:hAnsi="Times New Roman"/>
          <w:sz w:val="22"/>
        </w:rPr>
        <w:t xml:space="preserve">Skewed nature of party representation in HOC diminishes capacity of national institutions to accommodate regional grievances </w:t>
      </w:r>
    </w:p>
    <w:p w:rsidR="005C4934" w:rsidRDefault="005C4934" w:rsidP="00787F12">
      <w:pPr>
        <w:pStyle w:val="ListParagraph"/>
        <w:spacing w:after="120"/>
        <w:rPr>
          <w:rFonts w:ascii="Times New Roman" w:hAnsi="Times New Roman"/>
          <w:sz w:val="22"/>
        </w:rPr>
      </w:pPr>
    </w:p>
    <w:p w:rsidR="005C4934" w:rsidRDefault="005C4934" w:rsidP="005C4934">
      <w:pPr>
        <w:pStyle w:val="ListParagraph"/>
        <w:numPr>
          <w:ilvl w:val="0"/>
          <w:numId w:val="1"/>
        </w:numPr>
        <w:spacing w:after="120"/>
        <w:rPr>
          <w:rFonts w:ascii="Times New Roman" w:hAnsi="Times New Roman"/>
          <w:sz w:val="22"/>
        </w:rPr>
      </w:pPr>
      <w:r>
        <w:rPr>
          <w:rFonts w:ascii="Times New Roman" w:hAnsi="Times New Roman"/>
          <w:sz w:val="22"/>
        </w:rPr>
        <w:t>Parties have been weak generators of policy ideas, largely because policy development has been subordinated to the perceived requirements of winning elections. Three other functions of parties include: (1) structuring the vote; (2) recruitment of political leaders, and (3) organization of government</w:t>
      </w:r>
    </w:p>
    <w:p w:rsidR="00787F12" w:rsidRDefault="005C4934" w:rsidP="005C4934">
      <w:pPr>
        <w:pStyle w:val="ListParagraph"/>
        <w:numPr>
          <w:ilvl w:val="0"/>
          <w:numId w:val="1"/>
        </w:numPr>
        <w:spacing w:after="120"/>
        <w:rPr>
          <w:rFonts w:ascii="Times New Roman" w:hAnsi="Times New Roman"/>
          <w:sz w:val="22"/>
        </w:rPr>
      </w:pPr>
      <w:r>
        <w:rPr>
          <w:rFonts w:ascii="Times New Roman" w:hAnsi="Times New Roman"/>
          <w:sz w:val="22"/>
        </w:rPr>
        <w:t xml:space="preserve">Not until the late 1960s – under Trudeau – that significant reform to caucus </w:t>
      </w:r>
      <w:r w:rsidR="00787F12">
        <w:rPr>
          <w:rFonts w:ascii="Times New Roman" w:hAnsi="Times New Roman"/>
          <w:sz w:val="22"/>
        </w:rPr>
        <w:t xml:space="preserve">was achieved. Factors included wider scope and complexity of </w:t>
      </w:r>
      <w:proofErr w:type="spellStart"/>
      <w:r w:rsidR="00787F12">
        <w:rPr>
          <w:rFonts w:ascii="Times New Roman" w:hAnsi="Times New Roman"/>
          <w:sz w:val="22"/>
        </w:rPr>
        <w:t>govt</w:t>
      </w:r>
      <w:proofErr w:type="spellEnd"/>
      <w:r w:rsidR="00787F12">
        <w:rPr>
          <w:rFonts w:ascii="Times New Roman" w:hAnsi="Times New Roman"/>
          <w:sz w:val="22"/>
        </w:rPr>
        <w:t xml:space="preserve"> </w:t>
      </w:r>
      <w:proofErr w:type="gramStart"/>
      <w:r w:rsidR="00787F12">
        <w:rPr>
          <w:rFonts w:ascii="Times New Roman" w:hAnsi="Times New Roman"/>
          <w:sz w:val="22"/>
        </w:rPr>
        <w:t>policy,</w:t>
      </w:r>
      <w:proofErr w:type="gramEnd"/>
      <w:r w:rsidR="00787F12">
        <w:rPr>
          <w:rFonts w:ascii="Times New Roman" w:hAnsi="Times New Roman"/>
          <w:sz w:val="22"/>
        </w:rPr>
        <w:t xml:space="preserve"> opposition developing designated critics, professionalization of politics, etc.</w:t>
      </w:r>
    </w:p>
    <w:p w:rsidR="00787F12" w:rsidRDefault="00787F12" w:rsidP="00787F12">
      <w:pPr>
        <w:pStyle w:val="ListParagraph"/>
        <w:spacing w:after="120"/>
        <w:rPr>
          <w:rFonts w:ascii="Times New Roman" w:hAnsi="Times New Roman"/>
          <w:sz w:val="22"/>
        </w:rPr>
      </w:pPr>
    </w:p>
    <w:p w:rsidR="00787F12" w:rsidRDefault="00787F12" w:rsidP="005C4934">
      <w:pPr>
        <w:pStyle w:val="ListParagraph"/>
        <w:numPr>
          <w:ilvl w:val="0"/>
          <w:numId w:val="1"/>
        </w:numPr>
        <w:spacing w:after="120"/>
        <w:rPr>
          <w:rFonts w:ascii="Times New Roman" w:hAnsi="Times New Roman"/>
          <w:sz w:val="22"/>
        </w:rPr>
      </w:pPr>
      <w:r>
        <w:rPr>
          <w:rFonts w:ascii="Times New Roman" w:hAnsi="Times New Roman"/>
          <w:sz w:val="22"/>
        </w:rPr>
        <w:t xml:space="preserve">The Government Caucus – in best position to influence legislation and financial planning. </w:t>
      </w:r>
    </w:p>
    <w:p w:rsidR="00787F12" w:rsidRDefault="00787F12" w:rsidP="00787F12">
      <w:pPr>
        <w:pStyle w:val="ListParagraph"/>
        <w:numPr>
          <w:ilvl w:val="1"/>
          <w:numId w:val="1"/>
        </w:numPr>
        <w:spacing w:after="120"/>
        <w:rPr>
          <w:rFonts w:ascii="Times New Roman" w:hAnsi="Times New Roman"/>
          <w:sz w:val="22"/>
        </w:rPr>
      </w:pPr>
      <w:r>
        <w:rPr>
          <w:rFonts w:ascii="Times New Roman" w:hAnsi="Times New Roman"/>
          <w:sz w:val="22"/>
        </w:rPr>
        <w:t>Caucus is intended not for formal decision making, but for communication and consultation</w:t>
      </w:r>
    </w:p>
    <w:p w:rsidR="00787F12" w:rsidRDefault="00787F12" w:rsidP="00787F12">
      <w:pPr>
        <w:pStyle w:val="ListParagraph"/>
        <w:numPr>
          <w:ilvl w:val="1"/>
          <w:numId w:val="1"/>
        </w:numPr>
        <w:spacing w:after="120"/>
        <w:rPr>
          <w:rFonts w:ascii="Times New Roman" w:hAnsi="Times New Roman"/>
          <w:sz w:val="22"/>
        </w:rPr>
      </w:pPr>
      <w:r>
        <w:rPr>
          <w:rFonts w:ascii="Times New Roman" w:hAnsi="Times New Roman"/>
          <w:sz w:val="22"/>
        </w:rPr>
        <w:t>Caucus committees have been used for years to bridge ideological and regional disagreements</w:t>
      </w:r>
    </w:p>
    <w:p w:rsidR="00787F12" w:rsidRDefault="00787F12" w:rsidP="00787F12">
      <w:pPr>
        <w:pStyle w:val="ListParagraph"/>
        <w:spacing w:after="120"/>
        <w:ind w:left="1440"/>
        <w:rPr>
          <w:rFonts w:ascii="Times New Roman" w:hAnsi="Times New Roman"/>
          <w:sz w:val="22"/>
        </w:rPr>
      </w:pPr>
    </w:p>
    <w:p w:rsidR="005C4934" w:rsidRPr="005C4934" w:rsidRDefault="00787F12" w:rsidP="00787F12">
      <w:pPr>
        <w:pStyle w:val="ListParagraph"/>
        <w:numPr>
          <w:ilvl w:val="0"/>
          <w:numId w:val="1"/>
        </w:numPr>
        <w:spacing w:after="120"/>
        <w:rPr>
          <w:rFonts w:ascii="Times New Roman" w:hAnsi="Times New Roman"/>
          <w:sz w:val="22"/>
        </w:rPr>
      </w:pPr>
      <w:r>
        <w:rPr>
          <w:rFonts w:ascii="Times New Roman" w:hAnsi="Times New Roman"/>
          <w:sz w:val="22"/>
        </w:rPr>
        <w:t>Caucus is an essential element of the parliamentary system. Caucus meetings serve a variety of purposes: (1) they allow for the frank, private exchange of information and opinion on parliamentary, partisan, and other matters; (2) when a party is in office, caucus represents an opportunity to influence legislation, spending, and the administration of programs; (3) caucus can block, delay, or modify the legislative proposals presented by ministers; (4) devise parliamentary strategy and tactics to be employed by party</w:t>
      </w:r>
    </w:p>
    <w:p w:rsidR="005C4934" w:rsidRDefault="005C4934" w:rsidP="005C4934">
      <w:pPr>
        <w:spacing w:after="120"/>
        <w:rPr>
          <w:rFonts w:ascii="Times New Roman" w:hAnsi="Times New Roman"/>
          <w:b/>
          <w:sz w:val="22"/>
        </w:rPr>
      </w:pPr>
      <w:r>
        <w:rPr>
          <w:rFonts w:ascii="Times New Roman" w:hAnsi="Times New Roman"/>
          <w:b/>
          <w:sz w:val="22"/>
        </w:rPr>
        <w:t>Conclusions</w:t>
      </w:r>
    </w:p>
    <w:p w:rsidR="005C4934" w:rsidRDefault="005C4934" w:rsidP="005C4934">
      <w:pPr>
        <w:spacing w:after="120"/>
        <w:rPr>
          <w:rFonts w:ascii="Times New Roman" w:hAnsi="Times New Roman"/>
          <w:sz w:val="22"/>
        </w:rPr>
      </w:pPr>
      <w:r>
        <w:rPr>
          <w:rFonts w:ascii="Times New Roman" w:hAnsi="Times New Roman"/>
          <w:sz w:val="22"/>
        </w:rPr>
        <w:t>Thomas presents five proposals for change:</w:t>
      </w:r>
    </w:p>
    <w:p w:rsidR="005C4934" w:rsidRPr="005C4934" w:rsidRDefault="005C4934" w:rsidP="005C4934">
      <w:pPr>
        <w:pStyle w:val="ListParagraph"/>
        <w:numPr>
          <w:ilvl w:val="0"/>
          <w:numId w:val="2"/>
        </w:numPr>
        <w:spacing w:after="120"/>
        <w:rPr>
          <w:rFonts w:ascii="Times New Roman" w:hAnsi="Times New Roman"/>
          <w:sz w:val="22"/>
        </w:rPr>
      </w:pPr>
      <w:r w:rsidRPr="005C4934">
        <w:rPr>
          <w:rFonts w:ascii="Times New Roman" w:hAnsi="Times New Roman"/>
          <w:sz w:val="22"/>
        </w:rPr>
        <w:t>Major reports from regional caucuses or policy committees of caucus should be circulated and extended caucus sessions arranged to allow enough time for serious discussion</w:t>
      </w:r>
    </w:p>
    <w:p w:rsidR="005C4934" w:rsidRDefault="005C4934" w:rsidP="005C4934">
      <w:pPr>
        <w:pStyle w:val="ListParagraph"/>
        <w:numPr>
          <w:ilvl w:val="0"/>
          <w:numId w:val="2"/>
        </w:numPr>
        <w:spacing w:after="120"/>
        <w:rPr>
          <w:rFonts w:ascii="Times New Roman" w:hAnsi="Times New Roman"/>
          <w:sz w:val="22"/>
        </w:rPr>
      </w:pPr>
      <w:r>
        <w:rPr>
          <w:rFonts w:ascii="Times New Roman" w:hAnsi="Times New Roman"/>
          <w:sz w:val="22"/>
        </w:rPr>
        <w:t>Parties should experiment further with task forces – and interest groups should be invited to present briefs with a focus on consultation and dialogue</w:t>
      </w:r>
    </w:p>
    <w:p w:rsidR="005C4934" w:rsidRDefault="005C4934" w:rsidP="005C4934">
      <w:pPr>
        <w:pStyle w:val="ListParagraph"/>
        <w:numPr>
          <w:ilvl w:val="0"/>
          <w:numId w:val="2"/>
        </w:numPr>
        <w:spacing w:after="120"/>
        <w:rPr>
          <w:rFonts w:ascii="Times New Roman" w:hAnsi="Times New Roman"/>
          <w:sz w:val="22"/>
        </w:rPr>
      </w:pPr>
      <w:r>
        <w:rPr>
          <w:rFonts w:ascii="Times New Roman" w:hAnsi="Times New Roman"/>
          <w:sz w:val="22"/>
        </w:rPr>
        <w:t>Greater use should be made of public servants as a source of background info for caucus policy development</w:t>
      </w:r>
    </w:p>
    <w:p w:rsidR="005C4934" w:rsidRDefault="005C4934" w:rsidP="005C4934">
      <w:pPr>
        <w:pStyle w:val="ListParagraph"/>
        <w:numPr>
          <w:ilvl w:val="0"/>
          <w:numId w:val="2"/>
        </w:numPr>
        <w:spacing w:after="120"/>
        <w:rPr>
          <w:rFonts w:ascii="Times New Roman" w:hAnsi="Times New Roman"/>
          <w:sz w:val="22"/>
        </w:rPr>
      </w:pPr>
      <w:r>
        <w:rPr>
          <w:rFonts w:ascii="Times New Roman" w:hAnsi="Times New Roman"/>
          <w:sz w:val="22"/>
        </w:rPr>
        <w:t>Improved links to the provincial wings of the party and to party organization outside of Parliament</w:t>
      </w:r>
    </w:p>
    <w:p w:rsidR="005C4934" w:rsidRPr="005C4934" w:rsidRDefault="005C4934" w:rsidP="005C4934">
      <w:pPr>
        <w:pStyle w:val="ListParagraph"/>
        <w:numPr>
          <w:ilvl w:val="0"/>
          <w:numId w:val="2"/>
        </w:numPr>
        <w:spacing w:after="120"/>
        <w:rPr>
          <w:rFonts w:ascii="Times New Roman" w:hAnsi="Times New Roman"/>
          <w:sz w:val="22"/>
        </w:rPr>
      </w:pPr>
      <w:r>
        <w:rPr>
          <w:rFonts w:ascii="Times New Roman" w:hAnsi="Times New Roman"/>
          <w:sz w:val="22"/>
        </w:rPr>
        <w:t>The establishment of all-party regional caucuses – to identify regional needs and aspirations and monitor the attitudes of provincial governments and legislatures toward federal legislation and programs</w:t>
      </w:r>
    </w:p>
    <w:sectPr w:rsidR="005C4934" w:rsidRPr="005C4934" w:rsidSect="005C4934">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7050E"/>
    <w:multiLevelType w:val="hybridMultilevel"/>
    <w:tmpl w:val="F550ADE4"/>
    <w:lvl w:ilvl="0" w:tplc="FB70888C">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AC43A8"/>
    <w:multiLevelType w:val="hybridMultilevel"/>
    <w:tmpl w:val="45A08664"/>
    <w:lvl w:ilvl="0" w:tplc="10BEBB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C4934"/>
    <w:rsid w:val="005C4934"/>
    <w:rsid w:val="00787F1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93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C493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2012-05-08T15:35:00Z</dcterms:created>
  <dcterms:modified xsi:type="dcterms:W3CDTF">2012-05-08T15:58:00Z</dcterms:modified>
</cp:coreProperties>
</file>